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Bilag 2</w:t>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Evalueringsplan Horsens Kommune</w:t>
      </w:r>
      <w:r w:rsidDel="00000000" w:rsidR="00000000" w:rsidRPr="00000000">
        <w:rPr>
          <w:b w:val="1"/>
          <w:sz w:val="28"/>
          <w:szCs w:val="28"/>
          <w:rtl w:val="0"/>
        </w:rPr>
        <w:t xml:space="preserve"> -</w:t>
      </w:r>
      <w:r w:rsidDel="00000000" w:rsidR="00000000" w:rsidRPr="00000000">
        <w:rPr>
          <w:b w:val="1"/>
          <w:sz w:val="28"/>
          <w:szCs w:val="28"/>
          <w:vertAlign w:val="baseline"/>
          <w:rtl w:val="0"/>
        </w:rPr>
        <w:t xml:space="preserve"> Hovedgård Skole 2014-2016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Evalueringsplanen er en oversigt over såvel obligatoriske som frivillige test, som dagtilbud og skoler skal/ kan benytte sig af i afdækningen af elevernes sproglige og skriftsproglige færdigheder. Hvorvidt testen er obligatorisk eller frivillig er angivet med farver (frivillig=gul, obligatorisk=grøn).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Dagtilbud og skoler kan selv vælge, hvorvidt de ønsker at supplere evalueringsplanen med øvrige test.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Foruden disse test skal børn og elever i sproglige eller skriftsproglige vanskeligheder følges tæt ved hjælp af individuelle test, evt. foretaget af sprogvejleder, læsevejleder eller ressourcelærer. Det er altid pædagogen i dagtilbud eller dansklæreren i skolen, som har ansvaret for, at afdækningen finder sted, og at der tilrettelægges en foregribende eller indgribende indsats, evt. i samarbejde med dagtilbuddets eller skolens ressourcepersoner.</w:t>
      </w:r>
      <w:r w:rsidDel="00000000" w:rsidR="00000000" w:rsidRPr="00000000">
        <w:rPr>
          <w:rtl w:val="0"/>
        </w:rPr>
      </w:r>
    </w:p>
    <w:tbl>
      <w:tblPr>
        <w:tblStyle w:val="Table1"/>
        <w:bidi w:val="0"/>
        <w:tblW w:w="9798.0" w:type="dxa"/>
        <w:jc w:val="left"/>
        <w:tblInd w:w="-108.0" w:type="dxa"/>
        <w:tblLayout w:type="fixed"/>
        <w:tblLook w:val="0000"/>
      </w:tblPr>
      <w:tblGrid>
        <w:gridCol w:w="959"/>
        <w:gridCol w:w="7087"/>
        <w:gridCol w:w="1752"/>
        <w:tblGridChange w:id="0">
          <w:tblGrid>
            <w:gridCol w:w="959"/>
            <w:gridCol w:w="7087"/>
            <w:gridCol w:w="1752"/>
          </w:tblGrid>
        </w:tblGridChange>
      </w:tblGrid>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b w:val="1"/>
                <w:vertAlign w:val="baseline"/>
                <w:rtl w:val="0"/>
              </w:rPr>
              <w:t xml:space="preserve">Alder/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vertAlign w:val="baseline"/>
                <w:rtl w:val="0"/>
              </w:rPr>
              <w:t xml:space="preserve">Årgang</w:t>
            </w:r>
            <w:r w:rsidDel="00000000" w:rsidR="00000000" w:rsidRPr="00000000">
              <w:rPr>
                <w:rtl w:val="0"/>
              </w:rPr>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b w:val="1"/>
                <w:vertAlign w:val="baseline"/>
                <w:rtl w:val="0"/>
              </w:rPr>
              <w:t xml:space="preserve">Vurderingsmateriale/test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b w:val="1"/>
                <w:vertAlign w:val="baseline"/>
                <w:rtl w:val="0"/>
              </w:rPr>
              <w:t xml:space="preserve">Vurderingstids-punkt</w:t>
            </w: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3 år</w:t>
            </w:r>
            <w:r w:rsidDel="00000000" w:rsidR="00000000" w:rsidRPr="00000000">
              <w:rPr>
                <w:rtl w:val="0"/>
              </w:rPr>
            </w:r>
          </w:p>
        </w:tc>
        <w:tc>
          <w:tcPr>
            <w:tcBorders>
              <w:top w:color="000000" w:space="0" w:sz="4" w:val="single"/>
              <w:left w:color="000000" w:space="0" w:sz="4" w:val="single"/>
              <w:bottom w:color="000000" w:space="0" w:sz="4" w:val="single"/>
            </w:tcBorders>
            <w:shd w:fill="92d05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Sprogvurdering af 3-årige, inden skolestart og i børnehaveklassen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3:3</w:t>
            </w: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5 år</w:t>
            </w:r>
            <w:r w:rsidDel="00000000" w:rsidR="00000000" w:rsidRPr="00000000">
              <w:rPr>
                <w:rtl w:val="0"/>
              </w:rPr>
            </w:r>
          </w:p>
        </w:tc>
        <w:tc>
          <w:tcPr>
            <w:tcBorders>
              <w:top w:color="000000" w:space="0" w:sz="4" w:val="single"/>
              <w:left w:color="000000" w:space="0" w:sz="4" w:val="single"/>
              <w:bottom w:color="000000" w:space="0" w:sz="4" w:val="single"/>
            </w:tcBorders>
            <w:shd w:fill="92d05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Sprogvurdering af </w:t>
            </w:r>
            <w:r w:rsidDel="00000000" w:rsidR="00000000" w:rsidRPr="00000000">
              <w:rPr>
                <w:rtl w:val="0"/>
              </w:rPr>
              <w:t xml:space="preserve">5</w:t>
            </w:r>
            <w:r w:rsidDel="00000000" w:rsidR="00000000" w:rsidRPr="00000000">
              <w:rPr>
                <w:vertAlign w:val="baseline"/>
                <w:rtl w:val="0"/>
              </w:rPr>
              <w:t xml:space="preserve">-årige, inden skolestart og i børnehaveklassen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5:0</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0. </w:t>
            </w:r>
            <w:r w:rsidDel="00000000" w:rsidR="00000000" w:rsidRPr="00000000">
              <w:rPr>
                <w:rtl w:val="0"/>
              </w:rPr>
            </w:r>
          </w:p>
        </w:tc>
        <w:tc>
          <w:tcPr>
            <w:tcBorders>
              <w:top w:color="000000" w:space="0" w:sz="4" w:val="single"/>
              <w:left w:color="000000" w:space="0" w:sz="4" w:val="single"/>
              <w:bottom w:color="000000" w:space="0" w:sz="4" w:val="single"/>
            </w:tcBorders>
            <w:shd w:fill="92d05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Sprogvurdering af</w:t>
            </w:r>
            <w:r w:rsidDel="00000000" w:rsidR="00000000" w:rsidRPr="00000000">
              <w:rPr>
                <w:rtl w:val="0"/>
              </w:rPr>
              <w:t xml:space="preserve"> 5</w:t>
            </w:r>
            <w:r w:rsidDel="00000000" w:rsidR="00000000" w:rsidRPr="00000000">
              <w:rPr>
                <w:vertAlign w:val="baseline"/>
                <w:rtl w:val="0"/>
              </w:rPr>
              <w:t xml:space="preserve">-årige, inden skolestart og i børnehaveklassen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Uge 33-41</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Sprogvurdering a</w:t>
            </w:r>
            <w:r w:rsidDel="00000000" w:rsidR="00000000" w:rsidRPr="00000000">
              <w:rPr>
                <w:rtl w:val="0"/>
              </w:rPr>
              <w:t xml:space="preserve">f </w:t>
            </w:r>
            <w:r w:rsidDel="00000000" w:rsidR="00000000" w:rsidRPr="00000000">
              <w:rPr>
                <w:vertAlign w:val="baseline"/>
                <w:rtl w:val="0"/>
              </w:rPr>
              <w:t xml:space="preserve">5-årige, inden skolestart og i børnehaveklassen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Ordlæseprøve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Efterår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Ordlæseprøve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Februar</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2. </w:t>
            </w: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(2. kl. F2)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Efterår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92d05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ST2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DVO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Maj</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3. </w:t>
            </w:r>
            <w:r w:rsidDel="00000000" w:rsidR="00000000" w:rsidRPr="00000000">
              <w:rPr>
                <w:rtl w:val="0"/>
              </w:rPr>
            </w:r>
          </w:p>
          <w:p w:rsidR="00000000" w:rsidDel="00000000" w:rsidP="00000000" w:rsidRDefault="00000000" w:rsidRPr="00000000">
            <w:pPr>
              <w:widowControl w:val="1"/>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(4. kl. F1)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Efterår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200" w:before="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ST3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Ordblindetesten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Slutning af 3. kl.</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4. </w:t>
            </w: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(4. kl. F2)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Efterår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92d05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ST4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5. </w:t>
            </w: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(6. kl. F1)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Efterår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ST5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6. </w:t>
            </w: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(6. kl. F2)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Efterår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92d05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ST6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7. </w:t>
            </w: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(8. kl. F1)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Efterår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ST7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Semantisk ordforrådsprøve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Maj</w:t>
            </w:r>
            <w:r w:rsidDel="00000000" w:rsidR="00000000" w:rsidRPr="00000000">
              <w:rPr>
                <w:rtl w:val="0"/>
              </w:rPr>
            </w:r>
          </w:p>
        </w:tc>
      </w:tr>
      <w:tr>
        <w:tc>
          <w:tcPr>
            <w:vMerge w:val="restart"/>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(8. kl. F2)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Efterår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92d05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Nationale test i læsning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shd w:fill="ffff00"/>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ST8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vertAlign w:val="baseline"/>
                <w:rtl w:val="0"/>
              </w:rPr>
              <w:t xml:space="preserve">Forår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Bemærkninger til skemaet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Generelt gælder det i forhold til alle prøver og test, at de elever som opnår et opmærksomhedskrævende resultat skal afdækkes yderligere med individuelle test, og deres fortsatte udvikling skal følges løbende.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Materialet til yderligere afdækning vælges i forhold til de udfordringer, som det enkelte barn/den enkelte elev har.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Sprogvurdering af 3-årige, inden skolestart og i børnehaveklassen</w:t>
      </w:r>
      <w:r w:rsidDel="00000000" w:rsidR="00000000" w:rsidRPr="00000000">
        <w:rPr>
          <w:vertAlign w:val="baseline"/>
          <w:rtl w:val="0"/>
        </w:rPr>
        <w:t xml:space="preserve">: Elever i børnehaveklassen som opnår et resultat i kategorierne ”Fokuseret indsats” og ”Særlig indsats” skal afdækkes yderligere med de individuelle prøver, som materialet indeholder. Den individuelle testning skal være afviklet og indtastet i Rambøll Sprog inden uge 51.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Ordlæseprøve 1 (prøvematerialet ”Skriftsproglig udvikling”)</w:t>
      </w:r>
      <w:r w:rsidDel="00000000" w:rsidR="00000000" w:rsidRPr="00000000">
        <w:rPr>
          <w:vertAlign w:val="baseline"/>
          <w:rtl w:val="0"/>
        </w:rPr>
        <w:t xml:space="preserve">: Materialet indeholder yderligere delprøver, som kan benyttes til opfølgning.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DVO-materialet</w:t>
      </w:r>
      <w:r w:rsidDel="00000000" w:rsidR="00000000" w:rsidRPr="00000000">
        <w:rPr>
          <w:vertAlign w:val="baseline"/>
          <w:rtl w:val="0"/>
        </w:rPr>
        <w:t xml:space="preserve">: De elever, som placerer sig i kategorien ”Risiko for dyslektiske vanskeligheder” skal afdækkes yderligere med de individuelle prøver, som materialet indeholder. Materialet kan hentes på dette link: </w:t>
      </w:r>
      <w:hyperlink r:id="rId5">
        <w:r w:rsidDel="00000000" w:rsidR="00000000" w:rsidRPr="00000000">
          <w:rPr>
            <w:color w:val="0000ff"/>
            <w:u w:val="single"/>
            <w:vertAlign w:val="baseline"/>
            <w:rtl w:val="0"/>
          </w:rPr>
          <w:t xml:space="preserve">http://www.nota.nu/sites/default/files/Vejledning_til_afgraensning_af_dysleksi.pdf</w:t>
        </w:r>
      </w:hyperlink>
      <w:hyperlink r:id="rId6">
        <w:r w:rsidDel="00000000" w:rsidR="00000000" w:rsidRPr="00000000">
          <w:rPr>
            <w:rtl w:val="0"/>
          </w:rPr>
        </w:r>
      </w:hyperlink>
    </w:p>
    <w:p w:rsidR="00000000" w:rsidDel="00000000" w:rsidP="00000000" w:rsidRDefault="00000000" w:rsidRPr="00000000">
      <w:pPr>
        <w:spacing w:after="0" w:before="0" w:lineRule="auto"/>
        <w:contextualSpacing w:val="0"/>
      </w:pPr>
      <w:r w:rsidDel="00000000" w:rsidR="00000000" w:rsidRPr="00000000">
        <w:rPr>
          <w:b w:val="1"/>
          <w:vertAlign w:val="baseline"/>
          <w:rtl w:val="0"/>
        </w:rPr>
        <w:t xml:space="preserve">Den nye ordblindetest: </w:t>
      </w:r>
      <w:r w:rsidDel="00000000" w:rsidR="00000000" w:rsidRPr="00000000">
        <w:rPr>
          <w:vertAlign w:val="baseline"/>
          <w:rtl w:val="0"/>
        </w:rPr>
        <w:t xml:space="preserve">Test fra UVM </w:t>
      </w:r>
      <w:r w:rsidDel="00000000" w:rsidR="00000000" w:rsidRPr="00000000">
        <w:rPr>
          <w:rFonts w:ascii="Verdana" w:cs="Verdana" w:eastAsia="Verdana" w:hAnsi="Verdana"/>
          <w:sz w:val="19"/>
          <w:szCs w:val="19"/>
          <w:vertAlign w:val="baseline"/>
          <w:rtl w:val="0"/>
        </w:rPr>
        <w:t xml:space="preserve">til identifikation af elever med ordblindhed. Kan benyttes fra slutningen af 3. klasse og hele vejen op igennem uddannelsesforløbet. Benyttes ved mistanke om dysleksi, ikke som screeningsværkstøj.</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vertAlign w:val="baseline"/>
          <w:rtl w:val="0"/>
        </w:rPr>
        <w:t xml:space="preserve">Se link:</w:t>
      </w:r>
      <w:r w:rsidDel="00000000" w:rsidR="00000000" w:rsidRPr="00000000">
        <w:rPr>
          <w:b w:val="1"/>
          <w:vertAlign w:val="baseline"/>
          <w:rtl w:val="0"/>
        </w:rPr>
        <w:t xml:space="preserve"> </w:t>
      </w:r>
      <w:hyperlink r:id="rId7">
        <w:r w:rsidDel="00000000" w:rsidR="00000000" w:rsidRPr="00000000">
          <w:rPr>
            <w:color w:val="0000ff"/>
            <w:u w:val="single"/>
            <w:vertAlign w:val="baseline"/>
            <w:rtl w:val="0"/>
          </w:rPr>
          <w:t xml:space="preserve">http://www.emu.dk/modul/ordblindetest</w:t>
        </w:r>
      </w:hyperlink>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vertAlign w:val="baseline"/>
          <w:rtl w:val="0"/>
        </w:rPr>
        <w:t xml:space="preserve">Her er link til login til ordblindetesten, link til testvejledermodulet m.m.</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vertAlign w:val="baseline"/>
          <w:rtl w:val="0"/>
        </w:rPr>
        <w:t xml:space="preserve">ST-prøve</w:t>
      </w:r>
      <w:r w:rsidDel="00000000" w:rsidR="00000000" w:rsidRPr="00000000">
        <w:rPr>
          <w:vertAlign w:val="baseline"/>
          <w:rtl w:val="0"/>
        </w:rPr>
        <w:t xml:space="preserve">: ST-prøven bør gentages for de elever, der på det foregående klassetrin placerede sig i kategorierne C0-C3.</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Semantisk ordforrådsprøve</w:t>
      </w:r>
      <w:r w:rsidDel="00000000" w:rsidR="00000000" w:rsidRPr="00000000">
        <w:rPr>
          <w:vertAlign w:val="baseline"/>
          <w:rtl w:val="0"/>
        </w:rPr>
        <w:t xml:space="preserve">: De elever, som opnår mindre end 14 rigtige skal afdækkes yderligere, evt. med det tilhørende materiale ”Fonologisk ordforrådsprøve”. Der er udarbejdet standardiseringer for 7.-9. klassetrin, og materialet kan derfor anvendes i hele udskolingen. Materialet kan hentes på dette link: </w:t>
      </w:r>
      <w:hyperlink r:id="rId8">
        <w:r w:rsidDel="00000000" w:rsidR="00000000" w:rsidRPr="00000000">
          <w:rPr>
            <w:color w:val="0000ff"/>
            <w:u w:val="single"/>
            <w:vertAlign w:val="baseline"/>
            <w:rtl w:val="0"/>
          </w:rPr>
          <w:t xml:space="preserve">http://laes.hum.ku.dk/test/semantisk_ordforraadsproeve/</w:t>
        </w:r>
      </w:hyperlink>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vertAlign w:val="baseline"/>
          <w:rtl w:val="0"/>
        </w:rPr>
        <w:t xml:space="preserve">De nationale test i læsning</w:t>
      </w:r>
      <w:r w:rsidDel="00000000" w:rsidR="00000000" w:rsidRPr="00000000">
        <w:rPr>
          <w:vertAlign w:val="baseline"/>
          <w:rtl w:val="0"/>
        </w:rPr>
        <w:t xml:space="preserve">: På 3., 5. og 7. årgang er brugen af nationale test frivillig. Som hovedregel anvendes den test, som ligger over klassetrinnet. Hvis eleverne går i 3. klasse, anvendes således den frivillige nationale test for 4. klasse. Den samme prøve vil så blive gentaget i 4. klasse, dels som frivillig dels som obligatorisk. På den måde kan man følge elevgruppens udvikling med den samme prøve. Man skal dog være opmærksom på at forklare elever og forældre, at elevernes læseresultater ikke forventes at ligge højt i 3. klasse.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Det anbefales desuden, at F1 på 2. årgang anvendes som forprøve, så eleverne er fortrolige med prøveformen, før F2 gennemføres på 2. årgang.</w:t>
      </w:r>
    </w:p>
    <w:p w:rsidR="00000000" w:rsidDel="00000000" w:rsidP="00000000" w:rsidRDefault="00000000" w:rsidRPr="00000000">
      <w:pPr>
        <w:contextualSpacing w:val="0"/>
      </w:pPr>
      <w:r w:rsidDel="00000000" w:rsidR="00000000" w:rsidRPr="00000000">
        <w:rPr>
          <w:b w:val="1"/>
          <w:rtl w:val="0"/>
        </w:rPr>
        <w:t xml:space="preserve">IL prøverne og Testbatteriet:</w:t>
      </w:r>
      <w:r w:rsidDel="00000000" w:rsidR="00000000" w:rsidRPr="00000000">
        <w:rPr>
          <w:rtl w:val="0"/>
        </w:rPr>
        <w:t xml:space="preserve"> kan anvendes til elever, hvor der er behov for yderligere afdækning.</w:t>
      </w:r>
    </w:p>
    <w:p w:rsidR="00000000" w:rsidDel="00000000" w:rsidP="00000000" w:rsidRDefault="00000000" w:rsidRPr="00000000">
      <w:pPr>
        <w:contextualSpacing w:val="0"/>
      </w:pPr>
      <w:r w:rsidDel="00000000" w:rsidR="00000000" w:rsidRPr="00000000">
        <w:rPr>
          <w:b w:val="1"/>
          <w:rtl w:val="0"/>
        </w:rPr>
        <w:t xml:space="preserve">Staveraketten: </w:t>
      </w:r>
      <w:r w:rsidDel="00000000" w:rsidR="00000000" w:rsidRPr="00000000">
        <w:rPr>
          <w:rtl w:val="0"/>
        </w:rPr>
        <w:t xml:space="preserve">benyttes til afdækning af elevers staveudvikling i forbindelse med periodevis undervisning/ kurser på småhold.</w:t>
      </w:r>
    </w:p>
    <w:sectPr>
      <w:footerReference r:id="rId10" w:type="default"/>
      <w:pgSz w:h="16838" w:w="11906"/>
      <w:pgMar w:bottom="1133.8582677165355" w:top="1700.7874015748032"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Verdana"/>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laes.hum.ku.dk/test/semantisk_ordforraadsproeve/" TargetMode="External"/><Relationship Id="rId5" Type="http://schemas.openxmlformats.org/officeDocument/2006/relationships/hyperlink" Target="http://www.nota.nu/sites/default/files/Vejledning_til_afgraensning_af_dysleksi.pdf" TargetMode="External"/><Relationship Id="rId6" Type="http://schemas.openxmlformats.org/officeDocument/2006/relationships/hyperlink" Target="http://www.nota.nu/sites/default/files/Vejledning_til_afgraensning_af_dysleksi.pdf" TargetMode="External"/><Relationship Id="rId7" Type="http://schemas.openxmlformats.org/officeDocument/2006/relationships/hyperlink" Target="http://www.emu.dk/modul/ordblindetest" TargetMode="External"/><Relationship Id="rId8" Type="http://schemas.openxmlformats.org/officeDocument/2006/relationships/hyperlink" Target="http://laes.hum.ku.dk/test/semantisk_ordforraadsproe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